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1B" w:rsidRPr="00761841" w:rsidRDefault="00472B1B" w:rsidP="00472B1B">
      <w:pPr>
        <w:bidi w:val="0"/>
        <w:ind w:left="-514" w:firstLine="514"/>
        <w:jc w:val="center"/>
        <w:rPr>
          <w:i/>
          <w:iCs/>
          <w:sz w:val="28"/>
          <w:szCs w:val="28"/>
          <w:rtl/>
        </w:rPr>
      </w:pPr>
      <w:r w:rsidRPr="00761841">
        <w:rPr>
          <w:i/>
          <w:iCs/>
          <w:sz w:val="28"/>
          <w:szCs w:val="28"/>
        </w:rPr>
        <w:t>Abstract of a Persian article Published in the Attachment of Law Research Review, Faculty of Law, Shahaid Beheshti University, No. 42, March 2006</w:t>
      </w:r>
      <w:r w:rsidR="000D7B3B" w:rsidRPr="00761841">
        <w:rPr>
          <w:i/>
          <w:iCs/>
          <w:sz w:val="28"/>
          <w:szCs w:val="28"/>
        </w:rPr>
        <w:t>.</w:t>
      </w:r>
    </w:p>
    <w:p w:rsidR="00761841" w:rsidRPr="00761841" w:rsidRDefault="00761841" w:rsidP="00761841">
      <w:pPr>
        <w:bidi w:val="0"/>
        <w:ind w:left="-514" w:firstLine="514"/>
        <w:jc w:val="center"/>
        <w:rPr>
          <w:b/>
          <w:bCs/>
          <w:sz w:val="28"/>
          <w:szCs w:val="28"/>
        </w:rPr>
      </w:pPr>
      <w:r w:rsidRPr="00761841">
        <w:rPr>
          <w:b/>
          <w:bCs/>
          <w:sz w:val="28"/>
          <w:szCs w:val="28"/>
        </w:rPr>
        <w:t>The Prohibition of Making People Disgusted with Religion:</w:t>
      </w:r>
    </w:p>
    <w:p w:rsidR="00761841" w:rsidRPr="00761841" w:rsidRDefault="00761841" w:rsidP="00761841">
      <w:pPr>
        <w:bidi w:val="0"/>
        <w:ind w:left="-514" w:firstLine="514"/>
        <w:jc w:val="center"/>
        <w:rPr>
          <w:b/>
          <w:bCs/>
          <w:sz w:val="28"/>
          <w:szCs w:val="28"/>
        </w:rPr>
      </w:pPr>
      <w:r w:rsidRPr="00761841">
        <w:rPr>
          <w:b/>
          <w:bCs/>
          <w:sz w:val="28"/>
          <w:szCs w:val="28"/>
        </w:rPr>
        <w:t>A Fiqhi Principle</w:t>
      </w:r>
    </w:p>
    <w:p w:rsidR="00472B1B" w:rsidRDefault="00472B1B" w:rsidP="00472B1B">
      <w:pPr>
        <w:bidi w:val="0"/>
        <w:ind w:left="-514" w:firstLine="514"/>
        <w:jc w:val="center"/>
        <w:rPr>
          <w:sz w:val="28"/>
          <w:szCs w:val="28"/>
        </w:rPr>
      </w:pPr>
    </w:p>
    <w:p w:rsidR="00472B1B" w:rsidRPr="009C25A4" w:rsidRDefault="00472B1B" w:rsidP="001D25D9">
      <w:pPr>
        <w:bidi w:val="0"/>
        <w:ind w:left="-514" w:firstLine="514"/>
        <w:jc w:val="right"/>
        <w:rPr>
          <w:sz w:val="28"/>
          <w:szCs w:val="28"/>
        </w:rPr>
      </w:pPr>
      <w:r>
        <w:rPr>
          <w:sz w:val="28"/>
          <w:szCs w:val="28"/>
        </w:rPr>
        <w:t>By: Rahim No</w:t>
      </w:r>
      <w:r w:rsidRPr="009C25A4">
        <w:rPr>
          <w:sz w:val="28"/>
          <w:szCs w:val="28"/>
        </w:rPr>
        <w:t>bahar</w:t>
      </w:r>
      <w:r w:rsidR="001D25D9">
        <w:rPr>
          <w:rStyle w:val="FootnoteReference"/>
          <w:sz w:val="28"/>
          <w:szCs w:val="28"/>
        </w:rPr>
        <w:footnoteReference w:id="1"/>
      </w:r>
    </w:p>
    <w:p w:rsidR="00472B1B" w:rsidRPr="009C25A4" w:rsidRDefault="00472B1B" w:rsidP="00761841">
      <w:pPr>
        <w:bidi w:val="0"/>
        <w:ind w:left="-514" w:hanging="26"/>
        <w:jc w:val="both"/>
        <w:rPr>
          <w:b/>
          <w:bCs/>
          <w:sz w:val="28"/>
          <w:szCs w:val="28"/>
        </w:rPr>
      </w:pPr>
      <w:r w:rsidRPr="009C25A4">
        <w:rPr>
          <w:b/>
          <w:bCs/>
          <w:sz w:val="28"/>
          <w:szCs w:val="28"/>
        </w:rPr>
        <w:t>Abstract:</w:t>
      </w:r>
    </w:p>
    <w:p w:rsidR="00472B1B" w:rsidRPr="009C25A4" w:rsidRDefault="00472B1B" w:rsidP="00472B1B">
      <w:pPr>
        <w:bidi w:val="0"/>
        <w:ind w:left="-514" w:firstLine="514"/>
        <w:jc w:val="both"/>
        <w:rPr>
          <w:sz w:val="28"/>
          <w:szCs w:val="28"/>
        </w:rPr>
      </w:pPr>
      <w:r w:rsidRPr="009C25A4">
        <w:rPr>
          <w:sz w:val="28"/>
          <w:szCs w:val="28"/>
        </w:rPr>
        <w:t xml:space="preserve">In this article I will argue that in the framework of Islamic Law </w:t>
      </w:r>
      <w:r w:rsidRPr="009C25A4">
        <w:rPr>
          <w:i/>
          <w:iCs/>
          <w:sz w:val="28"/>
          <w:szCs w:val="28"/>
        </w:rPr>
        <w:t>(Shariah)</w:t>
      </w:r>
      <w:r w:rsidRPr="009C25A4">
        <w:rPr>
          <w:sz w:val="28"/>
          <w:szCs w:val="28"/>
        </w:rPr>
        <w:t xml:space="preserve"> we can count the prohibition of making people disgusted with Islam among fiqhi principles</w:t>
      </w:r>
      <w:r>
        <w:rPr>
          <w:sz w:val="28"/>
          <w:szCs w:val="28"/>
        </w:rPr>
        <w:t xml:space="preserve"> and rules</w:t>
      </w:r>
      <w:r w:rsidRPr="009C25A4">
        <w:rPr>
          <w:sz w:val="28"/>
          <w:szCs w:val="28"/>
        </w:rPr>
        <w:t xml:space="preserve">. </w:t>
      </w:r>
    </w:p>
    <w:p w:rsidR="00472B1B" w:rsidRPr="009C25A4" w:rsidRDefault="00472B1B" w:rsidP="002C4D7E">
      <w:pPr>
        <w:bidi w:val="0"/>
        <w:ind w:left="-514" w:firstLine="514"/>
        <w:jc w:val="both"/>
        <w:rPr>
          <w:sz w:val="28"/>
          <w:szCs w:val="28"/>
        </w:rPr>
      </w:pPr>
      <w:r w:rsidRPr="009C25A4">
        <w:rPr>
          <w:sz w:val="28"/>
          <w:szCs w:val="28"/>
        </w:rPr>
        <w:t xml:space="preserve">The prohibition of making people disgusted with Islam has two meanings: first it means that it is prohibited for each fully responsible </w:t>
      </w:r>
      <w:r>
        <w:rPr>
          <w:sz w:val="28"/>
          <w:szCs w:val="28"/>
        </w:rPr>
        <w:t xml:space="preserve">person </w:t>
      </w:r>
      <w:r w:rsidRPr="009C25A4">
        <w:rPr>
          <w:sz w:val="28"/>
          <w:szCs w:val="28"/>
        </w:rPr>
        <w:t xml:space="preserve">to do his or her permissible acts in a way </w:t>
      </w:r>
      <w:r w:rsidR="002C4D7E">
        <w:rPr>
          <w:sz w:val="28"/>
          <w:szCs w:val="28"/>
        </w:rPr>
        <w:t xml:space="preserve">that </w:t>
      </w:r>
      <w:r w:rsidRPr="009C25A4">
        <w:rPr>
          <w:sz w:val="28"/>
          <w:szCs w:val="28"/>
        </w:rPr>
        <w:t xml:space="preserve">results in people's disgust with Islam and its regulations. The </w:t>
      </w:r>
      <w:r>
        <w:rPr>
          <w:sz w:val="28"/>
          <w:szCs w:val="28"/>
        </w:rPr>
        <w:t>rule</w:t>
      </w:r>
      <w:r w:rsidR="002C4D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C25A4">
        <w:rPr>
          <w:sz w:val="28"/>
          <w:szCs w:val="28"/>
        </w:rPr>
        <w:t>in this sense</w:t>
      </w:r>
      <w:r w:rsidR="002C4D7E">
        <w:rPr>
          <w:sz w:val="28"/>
          <w:szCs w:val="28"/>
        </w:rPr>
        <w:t>,</w:t>
      </w:r>
      <w:r w:rsidRPr="009C25A4">
        <w:rPr>
          <w:sz w:val="28"/>
          <w:szCs w:val="28"/>
        </w:rPr>
        <w:t xml:space="preserve"> is clear and consensual among jurists, but has not the characters of a rule </w:t>
      </w:r>
      <w:r w:rsidR="000D7B3B">
        <w:rPr>
          <w:sz w:val="28"/>
          <w:szCs w:val="28"/>
        </w:rPr>
        <w:t xml:space="preserve">in its </w:t>
      </w:r>
      <w:r w:rsidRPr="009C25A4">
        <w:rPr>
          <w:sz w:val="28"/>
          <w:szCs w:val="28"/>
        </w:rPr>
        <w:t>idiomatic</w:t>
      </w:r>
      <w:r w:rsidR="000D7B3B">
        <w:rPr>
          <w:sz w:val="28"/>
          <w:szCs w:val="28"/>
        </w:rPr>
        <w:t xml:space="preserve"> sense</w:t>
      </w:r>
      <w:r w:rsidRPr="009C25A4">
        <w:rPr>
          <w:sz w:val="28"/>
          <w:szCs w:val="28"/>
        </w:rPr>
        <w:t xml:space="preserve">. In </w:t>
      </w:r>
      <w:r>
        <w:rPr>
          <w:sz w:val="28"/>
          <w:szCs w:val="28"/>
        </w:rPr>
        <w:t xml:space="preserve">the </w:t>
      </w:r>
      <w:r w:rsidRPr="009C25A4">
        <w:rPr>
          <w:sz w:val="28"/>
          <w:szCs w:val="28"/>
        </w:rPr>
        <w:t>second notion</w:t>
      </w:r>
      <w:r w:rsidR="002C4D7E">
        <w:rPr>
          <w:sz w:val="28"/>
          <w:szCs w:val="28"/>
        </w:rPr>
        <w:t>,</w:t>
      </w:r>
      <w:r w:rsidRPr="009C25A4">
        <w:rPr>
          <w:sz w:val="28"/>
          <w:szCs w:val="28"/>
        </w:rPr>
        <w:t xml:space="preserve"> it means that making people fed up with Islam is so important that has a prior</w:t>
      </w:r>
      <w:r w:rsidR="000D7B3B">
        <w:rPr>
          <w:sz w:val="28"/>
          <w:szCs w:val="28"/>
        </w:rPr>
        <w:t>ity over</w:t>
      </w:r>
      <w:r w:rsidRPr="009C25A4">
        <w:rPr>
          <w:sz w:val="28"/>
          <w:szCs w:val="28"/>
        </w:rPr>
        <w:t xml:space="preserve"> many other </w:t>
      </w:r>
      <w:r w:rsidR="002C4D7E">
        <w:rPr>
          <w:sz w:val="28"/>
          <w:szCs w:val="28"/>
        </w:rPr>
        <w:t xml:space="preserve">shariah </w:t>
      </w:r>
      <w:r w:rsidR="000D7B3B">
        <w:rPr>
          <w:sz w:val="28"/>
          <w:szCs w:val="28"/>
        </w:rPr>
        <w:t xml:space="preserve">laws and </w:t>
      </w:r>
      <w:r w:rsidRPr="009C25A4">
        <w:rPr>
          <w:sz w:val="28"/>
          <w:szCs w:val="28"/>
        </w:rPr>
        <w:t xml:space="preserve">regulations, except of those which are so vital that </w:t>
      </w:r>
      <w:r w:rsidR="000D7B3B">
        <w:rPr>
          <w:sz w:val="28"/>
          <w:szCs w:val="28"/>
        </w:rPr>
        <w:t>holy</w:t>
      </w:r>
      <w:r w:rsidRPr="009C25A4">
        <w:rPr>
          <w:sz w:val="28"/>
          <w:szCs w:val="28"/>
        </w:rPr>
        <w:t xml:space="preserve"> </w:t>
      </w:r>
      <w:r w:rsidR="000D7B3B">
        <w:rPr>
          <w:sz w:val="28"/>
          <w:szCs w:val="28"/>
        </w:rPr>
        <w:t>lawmaker</w:t>
      </w:r>
      <w:r w:rsidRPr="009C25A4">
        <w:rPr>
          <w:sz w:val="28"/>
          <w:szCs w:val="28"/>
        </w:rPr>
        <w:t xml:space="preserve"> do</w:t>
      </w:r>
      <w:r w:rsidR="002C4D7E">
        <w:rPr>
          <w:sz w:val="28"/>
          <w:szCs w:val="28"/>
        </w:rPr>
        <w:t>es</w:t>
      </w:r>
      <w:r w:rsidRPr="009C25A4">
        <w:rPr>
          <w:sz w:val="28"/>
          <w:szCs w:val="28"/>
        </w:rPr>
        <w:t xml:space="preserve"> not </w:t>
      </w:r>
      <w:r w:rsidR="002C4D7E">
        <w:rPr>
          <w:sz w:val="28"/>
          <w:szCs w:val="28"/>
        </w:rPr>
        <w:t>allow</w:t>
      </w:r>
      <w:r w:rsidRPr="009C25A4">
        <w:rPr>
          <w:sz w:val="28"/>
          <w:szCs w:val="28"/>
        </w:rPr>
        <w:t xml:space="preserve"> to be left </w:t>
      </w:r>
      <w:r w:rsidR="000D7B3B">
        <w:rPr>
          <w:sz w:val="28"/>
          <w:szCs w:val="28"/>
        </w:rPr>
        <w:t xml:space="preserve">and ignored </w:t>
      </w:r>
      <w:r w:rsidRPr="009C25A4">
        <w:rPr>
          <w:sz w:val="28"/>
          <w:szCs w:val="28"/>
        </w:rPr>
        <w:t xml:space="preserve">on no condition. So, in application of Islamic regulations we should consider </w:t>
      </w:r>
      <w:r w:rsidR="000D7B3B">
        <w:rPr>
          <w:sz w:val="28"/>
          <w:szCs w:val="28"/>
        </w:rPr>
        <w:t xml:space="preserve">and attend </w:t>
      </w:r>
      <w:r w:rsidRPr="009C25A4">
        <w:rPr>
          <w:sz w:val="28"/>
          <w:szCs w:val="28"/>
        </w:rPr>
        <w:t>the attitudes of people and make sure that they will not be disgusted with Islam and its regulations.</w:t>
      </w:r>
    </w:p>
    <w:p w:rsidR="00472B1B" w:rsidRPr="009C25A4" w:rsidRDefault="00472B1B" w:rsidP="001D25D9">
      <w:pPr>
        <w:bidi w:val="0"/>
        <w:ind w:left="-514" w:firstLine="514"/>
        <w:jc w:val="both"/>
        <w:rPr>
          <w:sz w:val="28"/>
          <w:szCs w:val="28"/>
          <w:rtl/>
        </w:rPr>
      </w:pPr>
      <w:r w:rsidRPr="009C25A4">
        <w:rPr>
          <w:sz w:val="28"/>
          <w:szCs w:val="28"/>
        </w:rPr>
        <w:t xml:space="preserve"> The article introduces sufficient evidences from the Reason as one of the </w:t>
      </w:r>
      <w:r w:rsidR="000D7B3B">
        <w:rPr>
          <w:sz w:val="28"/>
          <w:szCs w:val="28"/>
        </w:rPr>
        <w:t xml:space="preserve">basic </w:t>
      </w:r>
      <w:r w:rsidRPr="009C25A4">
        <w:rPr>
          <w:sz w:val="28"/>
          <w:szCs w:val="28"/>
        </w:rPr>
        <w:t xml:space="preserve">sources of </w:t>
      </w:r>
      <w:r w:rsidR="000D7B3B">
        <w:rPr>
          <w:sz w:val="28"/>
          <w:szCs w:val="28"/>
        </w:rPr>
        <w:t>fiqh, Holy Qura</w:t>
      </w:r>
      <w:r w:rsidRPr="009C25A4">
        <w:rPr>
          <w:sz w:val="28"/>
          <w:szCs w:val="28"/>
        </w:rPr>
        <w:t xml:space="preserve">n, Traditions </w:t>
      </w:r>
      <w:r w:rsidRPr="009C25A4">
        <w:rPr>
          <w:i/>
          <w:iCs/>
          <w:sz w:val="28"/>
          <w:szCs w:val="28"/>
        </w:rPr>
        <w:t>(Sonnah)</w:t>
      </w:r>
      <w:r w:rsidRPr="009C25A4">
        <w:rPr>
          <w:sz w:val="28"/>
          <w:szCs w:val="28"/>
        </w:rPr>
        <w:t xml:space="preserve"> and practical consensus of jurists</w:t>
      </w:r>
      <w:r w:rsidR="001D25D9">
        <w:rPr>
          <w:sz w:val="28"/>
          <w:szCs w:val="28"/>
        </w:rPr>
        <w:t xml:space="preserve">. The Rule is applicable in many social, public and international aspects of Muslim’s life </w:t>
      </w:r>
      <w:r w:rsidRPr="009C25A4">
        <w:rPr>
          <w:sz w:val="28"/>
          <w:szCs w:val="28"/>
        </w:rPr>
        <w:t xml:space="preserve">inter alia </w:t>
      </w:r>
      <w:r w:rsidR="001D25D9">
        <w:rPr>
          <w:sz w:val="28"/>
          <w:szCs w:val="28"/>
        </w:rPr>
        <w:t xml:space="preserve">the </w:t>
      </w:r>
      <w:r w:rsidRPr="009C25A4">
        <w:rPr>
          <w:sz w:val="28"/>
          <w:szCs w:val="28"/>
        </w:rPr>
        <w:t xml:space="preserve">relationships between Muslims and non-Muslims and application of </w:t>
      </w:r>
      <w:r w:rsidR="001D25D9">
        <w:rPr>
          <w:sz w:val="28"/>
          <w:szCs w:val="28"/>
        </w:rPr>
        <w:t xml:space="preserve">what are </w:t>
      </w:r>
      <w:r w:rsidR="000D7B3B">
        <w:rPr>
          <w:sz w:val="28"/>
          <w:szCs w:val="28"/>
        </w:rPr>
        <w:t>known as</w:t>
      </w:r>
      <w:r w:rsidR="001D25D9">
        <w:rPr>
          <w:sz w:val="28"/>
          <w:szCs w:val="28"/>
        </w:rPr>
        <w:t xml:space="preserve"> </w:t>
      </w:r>
      <w:r w:rsidRPr="009C25A4">
        <w:rPr>
          <w:sz w:val="28"/>
          <w:szCs w:val="28"/>
        </w:rPr>
        <w:t xml:space="preserve">Islamic punishments. </w:t>
      </w:r>
    </w:p>
    <w:p w:rsidR="00472B1B" w:rsidRPr="009C25A4" w:rsidRDefault="00472B1B" w:rsidP="001D25D9">
      <w:pPr>
        <w:bidi w:val="0"/>
        <w:ind w:left="-514" w:firstLine="514"/>
        <w:jc w:val="both"/>
        <w:rPr>
          <w:sz w:val="28"/>
          <w:szCs w:val="28"/>
        </w:rPr>
      </w:pPr>
      <w:r w:rsidRPr="009C25A4">
        <w:rPr>
          <w:sz w:val="28"/>
          <w:szCs w:val="28"/>
        </w:rPr>
        <w:t>According to the Rule, Islamic regulations should be applied gradually in a logic</w:t>
      </w:r>
      <w:r w:rsidR="001D25D9">
        <w:rPr>
          <w:sz w:val="28"/>
          <w:szCs w:val="28"/>
        </w:rPr>
        <w:t xml:space="preserve">, </w:t>
      </w:r>
      <w:r w:rsidRPr="009C25A4">
        <w:rPr>
          <w:sz w:val="28"/>
          <w:szCs w:val="28"/>
        </w:rPr>
        <w:t xml:space="preserve">rational </w:t>
      </w:r>
      <w:r w:rsidR="001D25D9">
        <w:rPr>
          <w:sz w:val="28"/>
          <w:szCs w:val="28"/>
        </w:rPr>
        <w:t xml:space="preserve">and mutual </w:t>
      </w:r>
      <w:r w:rsidRPr="009C25A4">
        <w:rPr>
          <w:sz w:val="28"/>
          <w:szCs w:val="28"/>
        </w:rPr>
        <w:t xml:space="preserve">interaction with the beliefs </w:t>
      </w:r>
      <w:r w:rsidR="000D7B3B">
        <w:rPr>
          <w:sz w:val="28"/>
          <w:szCs w:val="28"/>
        </w:rPr>
        <w:t xml:space="preserve">and attitudes </w:t>
      </w:r>
      <w:r w:rsidRPr="009C25A4">
        <w:rPr>
          <w:sz w:val="28"/>
          <w:szCs w:val="28"/>
        </w:rPr>
        <w:t xml:space="preserve">of the society and without </w:t>
      </w:r>
      <w:r w:rsidR="001D25D9">
        <w:rPr>
          <w:sz w:val="28"/>
          <w:szCs w:val="28"/>
        </w:rPr>
        <w:t xml:space="preserve">harsh </w:t>
      </w:r>
      <w:r w:rsidRPr="009C25A4">
        <w:rPr>
          <w:sz w:val="28"/>
          <w:szCs w:val="28"/>
        </w:rPr>
        <w:t>imposition</w:t>
      </w:r>
      <w:r w:rsidR="001D25D9">
        <w:rPr>
          <w:sz w:val="28"/>
          <w:szCs w:val="28"/>
        </w:rPr>
        <w:t xml:space="preserve"> and compulsion</w:t>
      </w:r>
      <w:r w:rsidRPr="009C25A4">
        <w:rPr>
          <w:sz w:val="28"/>
          <w:szCs w:val="28"/>
        </w:rPr>
        <w:t>.</w:t>
      </w:r>
    </w:p>
    <w:p w:rsidR="00472B1B" w:rsidRPr="009C25A4" w:rsidRDefault="00472B1B" w:rsidP="008152BE">
      <w:pPr>
        <w:bidi w:val="0"/>
        <w:ind w:left="-514" w:firstLine="514"/>
        <w:jc w:val="both"/>
        <w:rPr>
          <w:sz w:val="28"/>
          <w:szCs w:val="28"/>
        </w:rPr>
      </w:pPr>
      <w:r w:rsidRPr="009C25A4">
        <w:rPr>
          <w:sz w:val="28"/>
          <w:szCs w:val="28"/>
        </w:rPr>
        <w:t xml:space="preserve"> The rule, however, has its </w:t>
      </w:r>
      <w:r w:rsidR="002C4D7E">
        <w:rPr>
          <w:sz w:val="28"/>
          <w:szCs w:val="28"/>
        </w:rPr>
        <w:t xml:space="preserve">own </w:t>
      </w:r>
      <w:r w:rsidRPr="009C25A4">
        <w:rPr>
          <w:sz w:val="28"/>
          <w:szCs w:val="28"/>
        </w:rPr>
        <w:t xml:space="preserve">conditions </w:t>
      </w:r>
      <w:r w:rsidR="000D7B3B">
        <w:rPr>
          <w:sz w:val="28"/>
          <w:szCs w:val="28"/>
        </w:rPr>
        <w:t xml:space="preserve">and frameworks. It </w:t>
      </w:r>
      <w:r w:rsidRPr="009C25A4">
        <w:rPr>
          <w:sz w:val="28"/>
          <w:szCs w:val="28"/>
        </w:rPr>
        <w:t xml:space="preserve">doesn't mean that Muslims are allowed to leave their individual and social Islamic duties </w:t>
      </w:r>
      <w:r w:rsidR="008152BE">
        <w:rPr>
          <w:sz w:val="28"/>
          <w:szCs w:val="28"/>
        </w:rPr>
        <w:t xml:space="preserve">and responsibilities </w:t>
      </w:r>
      <w:r w:rsidRPr="009C25A4">
        <w:rPr>
          <w:sz w:val="28"/>
          <w:szCs w:val="28"/>
        </w:rPr>
        <w:t xml:space="preserve">aside easily, just for unpleasantness of others, especially those </w:t>
      </w:r>
      <w:r w:rsidR="000D7B3B">
        <w:rPr>
          <w:sz w:val="28"/>
          <w:szCs w:val="28"/>
        </w:rPr>
        <w:t>teachings a</w:t>
      </w:r>
      <w:r w:rsidRPr="009C25A4">
        <w:rPr>
          <w:sz w:val="28"/>
          <w:szCs w:val="28"/>
        </w:rPr>
        <w:t xml:space="preserve">nd regulations which are </w:t>
      </w:r>
      <w:r w:rsidR="000D7B3B">
        <w:rPr>
          <w:sz w:val="28"/>
          <w:szCs w:val="28"/>
        </w:rPr>
        <w:t>very significant.</w:t>
      </w:r>
      <w:r w:rsidRPr="009C25A4">
        <w:rPr>
          <w:sz w:val="28"/>
          <w:szCs w:val="28"/>
        </w:rPr>
        <w:t xml:space="preserve"> Instead</w:t>
      </w:r>
      <w:r w:rsidR="000D7B3B">
        <w:rPr>
          <w:sz w:val="28"/>
          <w:szCs w:val="28"/>
        </w:rPr>
        <w:t>,</w:t>
      </w:r>
      <w:r w:rsidRPr="009C25A4">
        <w:rPr>
          <w:sz w:val="28"/>
          <w:szCs w:val="28"/>
        </w:rPr>
        <w:t xml:space="preserve"> the Rule </w:t>
      </w:r>
      <w:r w:rsidR="008152BE">
        <w:rPr>
          <w:sz w:val="28"/>
          <w:szCs w:val="28"/>
        </w:rPr>
        <w:t xml:space="preserve">teaches </w:t>
      </w:r>
      <w:r w:rsidRPr="009C25A4">
        <w:rPr>
          <w:sz w:val="28"/>
          <w:szCs w:val="28"/>
        </w:rPr>
        <w:t>Muslim</w:t>
      </w:r>
      <w:r w:rsidR="000D7B3B">
        <w:rPr>
          <w:sz w:val="28"/>
          <w:szCs w:val="28"/>
        </w:rPr>
        <w:t>s</w:t>
      </w:r>
      <w:r w:rsidRPr="009C25A4">
        <w:rPr>
          <w:sz w:val="28"/>
          <w:szCs w:val="28"/>
        </w:rPr>
        <w:t xml:space="preserve"> to try for providing suitable </w:t>
      </w:r>
      <w:r w:rsidR="000D7B3B">
        <w:rPr>
          <w:sz w:val="28"/>
          <w:szCs w:val="28"/>
        </w:rPr>
        <w:t xml:space="preserve">backgrounds for </w:t>
      </w:r>
      <w:r w:rsidRPr="009C25A4">
        <w:rPr>
          <w:sz w:val="28"/>
          <w:szCs w:val="28"/>
        </w:rPr>
        <w:t>application of Islamic regulations.</w:t>
      </w:r>
    </w:p>
    <w:p w:rsidR="00472B1B" w:rsidRPr="009C25A4" w:rsidRDefault="00472B1B" w:rsidP="000D7B3B">
      <w:pPr>
        <w:bidi w:val="0"/>
        <w:ind w:left="-514" w:firstLine="514"/>
        <w:jc w:val="both"/>
        <w:rPr>
          <w:sz w:val="28"/>
          <w:szCs w:val="28"/>
          <w:rtl/>
        </w:rPr>
      </w:pPr>
      <w:r w:rsidRPr="009C25A4">
        <w:rPr>
          <w:b/>
          <w:bCs/>
          <w:sz w:val="28"/>
          <w:szCs w:val="28"/>
        </w:rPr>
        <w:t>Keywords:</w:t>
      </w:r>
      <w:r w:rsidRPr="009C25A4">
        <w:rPr>
          <w:sz w:val="28"/>
          <w:szCs w:val="28"/>
        </w:rPr>
        <w:t xml:space="preserve"> Islamic Law, Secularism, Custom, Application of Islamic Regulations. </w:t>
      </w:r>
    </w:p>
    <w:p w:rsidR="00472B1B" w:rsidRPr="009C25A4" w:rsidRDefault="00472B1B" w:rsidP="00472B1B">
      <w:pPr>
        <w:tabs>
          <w:tab w:val="left" w:pos="26"/>
        </w:tabs>
        <w:bidi w:val="0"/>
        <w:spacing w:line="360" w:lineRule="auto"/>
        <w:ind w:left="-514" w:right="-720" w:firstLine="514"/>
        <w:jc w:val="both"/>
        <w:rPr>
          <w:sz w:val="28"/>
          <w:szCs w:val="28"/>
          <w:rtl/>
        </w:rPr>
      </w:pPr>
    </w:p>
    <w:p w:rsidR="009278FF" w:rsidRDefault="00E17E9E" w:rsidP="00472B1B">
      <w:pPr>
        <w:bidi w:val="0"/>
        <w:jc w:val="both"/>
      </w:pPr>
    </w:p>
    <w:sectPr w:rsidR="009278FF" w:rsidSect="009367C2">
      <w:footerReference w:type="even" r:id="rId7"/>
      <w:footerReference w:type="default" r:id="rId8"/>
      <w:footnotePr>
        <w:numRestart w:val="eachPage"/>
      </w:footnotePr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9E" w:rsidRDefault="00E17E9E" w:rsidP="00472B1B">
      <w:r>
        <w:separator/>
      </w:r>
    </w:p>
  </w:endnote>
  <w:endnote w:type="continuationSeparator" w:id="0">
    <w:p w:rsidR="00E17E9E" w:rsidRDefault="00E17E9E" w:rsidP="0047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558" w:rsidRDefault="00B35C03" w:rsidP="0035556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80558" w:rsidRDefault="00E17E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558" w:rsidRDefault="00B35C03" w:rsidP="0035556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61841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80558" w:rsidRDefault="00E17E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9E" w:rsidRDefault="00E17E9E" w:rsidP="00472B1B">
      <w:r>
        <w:separator/>
      </w:r>
    </w:p>
  </w:footnote>
  <w:footnote w:type="continuationSeparator" w:id="0">
    <w:p w:rsidR="00E17E9E" w:rsidRDefault="00E17E9E" w:rsidP="00472B1B">
      <w:r>
        <w:continuationSeparator/>
      </w:r>
    </w:p>
  </w:footnote>
  <w:footnote w:id="1">
    <w:p w:rsidR="001D25D9" w:rsidRDefault="001D25D9" w:rsidP="001D25D9">
      <w:pPr>
        <w:pStyle w:val="FootnoteText"/>
        <w:bidi w:val="0"/>
      </w:pPr>
      <w:r>
        <w:rPr>
          <w:rStyle w:val="FootnoteReference"/>
        </w:rPr>
        <w:footnoteRef/>
      </w:r>
      <w:r>
        <w:t xml:space="preserve">. Seminary </w:t>
      </w:r>
      <w:r w:rsidR="00761841">
        <w:t>researcher and f</w:t>
      </w:r>
      <w:r>
        <w:t>aculty member, Faculty</w:t>
      </w:r>
      <w:bookmarkStart w:id="0" w:name="_GoBack"/>
      <w:bookmarkEnd w:id="0"/>
      <w:r>
        <w:t xml:space="preserve"> of Law, Shahid Beheshti University, Tehran, Iran.</w:t>
      </w:r>
      <w:r>
        <w:rPr>
          <w:rtl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1B"/>
    <w:rsid w:val="000D7B3B"/>
    <w:rsid w:val="00191154"/>
    <w:rsid w:val="001D25D9"/>
    <w:rsid w:val="002C4D7E"/>
    <w:rsid w:val="00472B1B"/>
    <w:rsid w:val="00761841"/>
    <w:rsid w:val="008152BE"/>
    <w:rsid w:val="008E676A"/>
    <w:rsid w:val="00B35C03"/>
    <w:rsid w:val="00CF2EF9"/>
    <w:rsid w:val="00E1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9281D-A2E5-4F6F-9F9C-488FF5B4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72B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2B1B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basedOn w:val="DefaultParagraphFont"/>
    <w:semiHidden/>
    <w:rsid w:val="00472B1B"/>
    <w:rPr>
      <w:vertAlign w:val="superscript"/>
    </w:rPr>
  </w:style>
  <w:style w:type="paragraph" w:styleId="Footer">
    <w:name w:val="footer"/>
    <w:basedOn w:val="Normal"/>
    <w:link w:val="FooterChar"/>
    <w:rsid w:val="00472B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72B1B"/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PageNumber">
    <w:name w:val="page number"/>
    <w:basedOn w:val="DefaultParagraphFont"/>
    <w:rsid w:val="0047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E726-1C89-456F-9D33-5EA69A53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449</Words>
  <Characters>1863</Characters>
  <Application>Microsoft Office Word</Application>
  <DocSecurity>0</DocSecurity>
  <Lines>27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4</cp:revision>
  <dcterms:created xsi:type="dcterms:W3CDTF">2017-09-03T15:55:00Z</dcterms:created>
  <dcterms:modified xsi:type="dcterms:W3CDTF">2017-09-03T19:54:00Z</dcterms:modified>
</cp:coreProperties>
</file>