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A48" w:rsidRDefault="00E07A48" w:rsidP="00E07A48">
      <w:pPr>
        <w:pStyle w:val="ListParagraph"/>
        <w:spacing w:after="0" w:line="276" w:lineRule="auto"/>
        <w:ind w:firstLine="26"/>
        <w:jc w:val="center"/>
        <w:rPr>
          <w:rFonts w:cs="B Yagut"/>
          <w:b/>
          <w:bCs/>
          <w:sz w:val="24"/>
          <w:szCs w:val="24"/>
        </w:rPr>
      </w:pPr>
      <w:r w:rsidRPr="003E791C">
        <w:rPr>
          <w:rFonts w:cs="B Yagut"/>
          <w:b/>
          <w:bCs/>
          <w:sz w:val="24"/>
          <w:szCs w:val="24"/>
        </w:rPr>
        <w:t>Capital Punishment: An Islamic Perspective</w:t>
      </w:r>
    </w:p>
    <w:p w:rsidR="00057A22" w:rsidRPr="001D280E" w:rsidRDefault="00057A22" w:rsidP="0000092B">
      <w:pPr>
        <w:pStyle w:val="ListParagraph"/>
        <w:spacing w:after="0" w:line="276" w:lineRule="auto"/>
        <w:ind w:firstLine="26"/>
        <w:jc w:val="center"/>
        <w:rPr>
          <w:rFonts w:cs="B Yagut"/>
          <w:sz w:val="24"/>
          <w:szCs w:val="24"/>
        </w:rPr>
      </w:pPr>
    </w:p>
    <w:p w:rsidR="0000092B" w:rsidRPr="001D280E" w:rsidRDefault="00057A22" w:rsidP="00E07A48">
      <w:pPr>
        <w:pStyle w:val="ListParagraph"/>
        <w:spacing w:after="0" w:line="276" w:lineRule="auto"/>
        <w:ind w:right="810" w:firstLine="26"/>
        <w:jc w:val="center"/>
        <w:rPr>
          <w:rFonts w:cs="B Yagut"/>
          <w:sz w:val="24"/>
          <w:szCs w:val="24"/>
        </w:rPr>
      </w:pPr>
      <w:r w:rsidRPr="001D280E">
        <w:rPr>
          <w:rFonts w:cs="B Yagut"/>
          <w:sz w:val="24"/>
          <w:szCs w:val="24"/>
        </w:rPr>
        <w:t>Rahim Nobahar</w:t>
      </w:r>
      <w:r w:rsidR="00302E96">
        <w:rPr>
          <w:rFonts w:cs="B Yagut"/>
          <w:sz w:val="24"/>
          <w:szCs w:val="24"/>
        </w:rPr>
        <w:t xml:space="preserve"> </w:t>
      </w:r>
      <w:r w:rsidRPr="001D280E">
        <w:rPr>
          <w:rFonts w:cs="B Yagut"/>
          <w:sz w:val="24"/>
          <w:szCs w:val="24"/>
        </w:rPr>
        <w:t>(PhD)</w:t>
      </w:r>
      <w:r w:rsidR="00E07A48">
        <w:rPr>
          <w:rStyle w:val="FootnoteReference"/>
          <w:rFonts w:cs="B Yagut"/>
          <w:sz w:val="24"/>
          <w:szCs w:val="24"/>
        </w:rPr>
        <w:footnoteReference w:id="1"/>
      </w:r>
    </w:p>
    <w:p w:rsidR="0000092B" w:rsidRPr="001D280E" w:rsidRDefault="0000092B" w:rsidP="00057A22">
      <w:pPr>
        <w:pStyle w:val="ListParagraph"/>
        <w:spacing w:after="0" w:line="276" w:lineRule="auto"/>
        <w:ind w:right="720" w:firstLine="26"/>
        <w:jc w:val="center"/>
        <w:rPr>
          <w:rFonts w:cs="B Yagut"/>
          <w:sz w:val="24"/>
          <w:szCs w:val="24"/>
        </w:rPr>
      </w:pPr>
      <w:proofErr w:type="gramStart"/>
      <w:r w:rsidRPr="001D280E">
        <w:rPr>
          <w:rFonts w:cs="B Yagut"/>
          <w:sz w:val="24"/>
          <w:szCs w:val="24"/>
        </w:rPr>
        <w:t xml:space="preserve">Associate Professor, </w:t>
      </w:r>
      <w:r w:rsidR="003E791C">
        <w:rPr>
          <w:rFonts w:cs="B Yagut"/>
          <w:sz w:val="24"/>
          <w:szCs w:val="24"/>
        </w:rPr>
        <w:t xml:space="preserve">Department of Islamic Law, </w:t>
      </w:r>
      <w:r w:rsidRPr="001D280E">
        <w:rPr>
          <w:rFonts w:cs="B Yagut"/>
          <w:sz w:val="24"/>
          <w:szCs w:val="24"/>
        </w:rPr>
        <w:t xml:space="preserve">Faculty of Law, </w:t>
      </w:r>
      <w:proofErr w:type="spellStart"/>
      <w:r w:rsidRPr="001D280E">
        <w:rPr>
          <w:rFonts w:cs="B Yagut"/>
          <w:sz w:val="24"/>
          <w:szCs w:val="24"/>
        </w:rPr>
        <w:t>Shahid</w:t>
      </w:r>
      <w:proofErr w:type="spellEnd"/>
      <w:r w:rsidRPr="001D280E">
        <w:rPr>
          <w:rFonts w:cs="B Yagut"/>
          <w:sz w:val="24"/>
          <w:szCs w:val="24"/>
        </w:rPr>
        <w:t xml:space="preserve"> </w:t>
      </w:r>
      <w:proofErr w:type="spellStart"/>
      <w:r w:rsidRPr="001D280E">
        <w:rPr>
          <w:rFonts w:cs="B Yagut"/>
          <w:sz w:val="24"/>
          <w:szCs w:val="24"/>
        </w:rPr>
        <w:t>Beheshti</w:t>
      </w:r>
      <w:proofErr w:type="spellEnd"/>
      <w:r w:rsidRPr="001D280E">
        <w:rPr>
          <w:rFonts w:cs="B Yagut"/>
          <w:sz w:val="24"/>
          <w:szCs w:val="24"/>
        </w:rPr>
        <w:t xml:space="preserve"> University</w:t>
      </w:r>
      <w:r w:rsidR="00F37579" w:rsidRPr="001D280E">
        <w:rPr>
          <w:rFonts w:cs="B Yagut"/>
          <w:sz w:val="24"/>
          <w:szCs w:val="24"/>
        </w:rPr>
        <w:t>, Tehran, Iran.</w:t>
      </w:r>
      <w:proofErr w:type="gramEnd"/>
    </w:p>
    <w:p w:rsidR="00057A22" w:rsidRPr="001D280E" w:rsidRDefault="00057A22" w:rsidP="00057A22">
      <w:pPr>
        <w:pStyle w:val="ListParagraph"/>
        <w:spacing w:after="0" w:line="276" w:lineRule="auto"/>
        <w:ind w:right="720" w:firstLine="26"/>
        <w:jc w:val="center"/>
        <w:rPr>
          <w:rFonts w:cs="B Yagut"/>
          <w:sz w:val="24"/>
          <w:szCs w:val="24"/>
        </w:rPr>
      </w:pPr>
    </w:p>
    <w:p w:rsidR="00057A22" w:rsidRPr="001D280E" w:rsidRDefault="00057A22" w:rsidP="0000092B">
      <w:pPr>
        <w:pStyle w:val="ListParagraph"/>
        <w:spacing w:after="0" w:line="276" w:lineRule="auto"/>
        <w:ind w:right="720" w:firstLine="26"/>
        <w:jc w:val="right"/>
        <w:rPr>
          <w:rFonts w:cs="B Yagut"/>
          <w:sz w:val="24"/>
          <w:szCs w:val="24"/>
        </w:rPr>
      </w:pPr>
    </w:p>
    <w:p w:rsidR="0000092B" w:rsidRPr="001D280E" w:rsidRDefault="00B1047E" w:rsidP="00057A22">
      <w:pPr>
        <w:pStyle w:val="ListParagraph"/>
        <w:bidi w:val="0"/>
        <w:spacing w:after="0" w:line="276" w:lineRule="auto"/>
        <w:ind w:firstLine="26"/>
        <w:jc w:val="both"/>
        <w:rPr>
          <w:rFonts w:cstheme="minorHAnsi"/>
          <w:sz w:val="24"/>
          <w:szCs w:val="24"/>
        </w:rPr>
      </w:pPr>
      <w:r w:rsidRPr="00B1047E">
        <w:rPr>
          <w:rFonts w:cstheme="minorHAnsi"/>
          <w:b/>
          <w:bCs/>
          <w:sz w:val="24"/>
          <w:szCs w:val="24"/>
        </w:rPr>
        <w:t>Abstract:</w:t>
      </w:r>
      <w:r>
        <w:rPr>
          <w:rFonts w:cstheme="minorHAnsi"/>
          <w:sz w:val="24"/>
          <w:szCs w:val="24"/>
        </w:rPr>
        <w:t xml:space="preserve"> </w:t>
      </w:r>
      <w:r w:rsidR="0000092B" w:rsidRPr="001D280E">
        <w:rPr>
          <w:rFonts w:cstheme="minorHAnsi"/>
          <w:sz w:val="24"/>
          <w:szCs w:val="24"/>
        </w:rPr>
        <w:t xml:space="preserve">This article highlights some Islamic </w:t>
      </w:r>
      <w:r w:rsidR="00E07A48" w:rsidRPr="001D280E">
        <w:rPr>
          <w:rFonts w:cstheme="minorHAnsi"/>
          <w:sz w:val="24"/>
          <w:szCs w:val="24"/>
        </w:rPr>
        <w:t>jurisprudential</w:t>
      </w:r>
      <w:r w:rsidR="0000092B" w:rsidRPr="001D280E">
        <w:rPr>
          <w:rFonts w:cstheme="minorHAnsi"/>
          <w:sz w:val="24"/>
          <w:szCs w:val="24"/>
        </w:rPr>
        <w:t xml:space="preserve"> </w:t>
      </w:r>
      <w:r w:rsidR="0000092B" w:rsidRPr="001D280E">
        <w:rPr>
          <w:rFonts w:cstheme="minorHAnsi"/>
          <w:i/>
          <w:iCs/>
          <w:sz w:val="24"/>
          <w:szCs w:val="24"/>
        </w:rPr>
        <w:t>(</w:t>
      </w:r>
      <w:proofErr w:type="spellStart"/>
      <w:r w:rsidR="0000092B" w:rsidRPr="001D280E">
        <w:rPr>
          <w:rFonts w:cstheme="minorHAnsi"/>
          <w:i/>
          <w:iCs/>
          <w:sz w:val="24"/>
          <w:szCs w:val="24"/>
        </w:rPr>
        <w:t>fiqh</w:t>
      </w:r>
      <w:r w:rsidR="00057A22" w:rsidRPr="001D280E">
        <w:rPr>
          <w:rFonts w:asciiTheme="majorBidi" w:hAnsiTheme="majorBidi" w:cstheme="majorBidi"/>
          <w:i/>
          <w:iCs/>
          <w:sz w:val="24"/>
          <w:szCs w:val="24"/>
        </w:rPr>
        <w:t>ī</w:t>
      </w:r>
      <w:proofErr w:type="spellEnd"/>
      <w:r w:rsidR="0000092B" w:rsidRPr="001D280E">
        <w:rPr>
          <w:rFonts w:cstheme="minorHAnsi"/>
          <w:i/>
          <w:iCs/>
          <w:sz w:val="24"/>
          <w:szCs w:val="24"/>
        </w:rPr>
        <w:t>)</w:t>
      </w:r>
      <w:r w:rsidR="0000092B" w:rsidRPr="001D280E">
        <w:rPr>
          <w:rFonts w:cstheme="minorHAnsi"/>
          <w:sz w:val="24"/>
          <w:szCs w:val="24"/>
        </w:rPr>
        <w:t xml:space="preserve"> principles which require reduction and restriction of death penalty. According to this article, in Islamic view the permissibility of capital punishment is very limited and narrow. Minimalistic approach to capital punishment includes fixed punishment </w:t>
      </w:r>
      <w:r w:rsidR="0000092B" w:rsidRPr="001D280E">
        <w:rPr>
          <w:rFonts w:cstheme="minorHAnsi"/>
          <w:i/>
          <w:iCs/>
          <w:sz w:val="24"/>
          <w:szCs w:val="24"/>
        </w:rPr>
        <w:t>(had),</w:t>
      </w:r>
      <w:r w:rsidR="0000092B" w:rsidRPr="001D280E">
        <w:rPr>
          <w:rFonts w:cstheme="minorHAnsi"/>
          <w:sz w:val="24"/>
          <w:szCs w:val="24"/>
        </w:rPr>
        <w:t xml:space="preserve"> just retaliation </w:t>
      </w:r>
      <w:r w:rsidR="0000092B" w:rsidRPr="001D280E">
        <w:rPr>
          <w:rFonts w:cstheme="minorHAnsi"/>
          <w:i/>
          <w:iCs/>
          <w:sz w:val="24"/>
          <w:szCs w:val="24"/>
        </w:rPr>
        <w:t>(</w:t>
      </w:r>
      <w:proofErr w:type="spellStart"/>
      <w:r w:rsidR="0000092B" w:rsidRPr="001D280E">
        <w:rPr>
          <w:rFonts w:cstheme="minorHAnsi"/>
          <w:i/>
          <w:iCs/>
          <w:sz w:val="24"/>
          <w:szCs w:val="24"/>
        </w:rPr>
        <w:t>qis</w:t>
      </w:r>
      <w:r w:rsidR="00F37579" w:rsidRPr="001D280E">
        <w:rPr>
          <w:rFonts w:cstheme="minorHAnsi"/>
          <w:i/>
          <w:iCs/>
          <w:sz w:val="24"/>
          <w:szCs w:val="24"/>
        </w:rPr>
        <w:t>ā</w:t>
      </w:r>
      <w:r w:rsidR="0000092B" w:rsidRPr="001D280E">
        <w:rPr>
          <w:rFonts w:cstheme="minorHAnsi"/>
          <w:i/>
          <w:iCs/>
          <w:sz w:val="24"/>
          <w:szCs w:val="24"/>
        </w:rPr>
        <w:t>s</w:t>
      </w:r>
      <w:proofErr w:type="spellEnd"/>
      <w:r w:rsidR="0000092B" w:rsidRPr="001D280E">
        <w:rPr>
          <w:rFonts w:cstheme="minorHAnsi"/>
          <w:i/>
          <w:iCs/>
          <w:sz w:val="24"/>
          <w:szCs w:val="24"/>
        </w:rPr>
        <w:t>)</w:t>
      </w:r>
      <w:r w:rsidR="0000092B" w:rsidRPr="001D280E">
        <w:rPr>
          <w:rFonts w:cstheme="minorHAnsi"/>
          <w:sz w:val="24"/>
          <w:szCs w:val="24"/>
        </w:rPr>
        <w:t xml:space="preserve"> and discretionary punishment </w:t>
      </w:r>
      <w:r w:rsidR="0000092B" w:rsidRPr="001D280E">
        <w:rPr>
          <w:rFonts w:cstheme="minorHAnsi"/>
          <w:i/>
          <w:iCs/>
          <w:sz w:val="24"/>
          <w:szCs w:val="24"/>
        </w:rPr>
        <w:t>(</w:t>
      </w:r>
      <w:proofErr w:type="spellStart"/>
      <w:r w:rsidR="0000092B" w:rsidRPr="001D280E">
        <w:rPr>
          <w:rFonts w:cstheme="minorHAnsi"/>
          <w:i/>
          <w:iCs/>
          <w:sz w:val="24"/>
          <w:szCs w:val="24"/>
        </w:rPr>
        <w:t>ta’zir</w:t>
      </w:r>
      <w:proofErr w:type="spellEnd"/>
      <w:r w:rsidR="0000092B" w:rsidRPr="001D280E">
        <w:rPr>
          <w:rFonts w:cstheme="minorHAnsi"/>
          <w:i/>
          <w:iCs/>
          <w:sz w:val="24"/>
          <w:szCs w:val="24"/>
        </w:rPr>
        <w:t>).</w:t>
      </w:r>
      <w:r w:rsidR="0000092B" w:rsidRPr="001D280E">
        <w:rPr>
          <w:rFonts w:cstheme="minorHAnsi"/>
          <w:sz w:val="24"/>
          <w:szCs w:val="24"/>
        </w:rPr>
        <w:t xml:space="preserve"> The article also studies some procedural factors,</w:t>
      </w:r>
      <w:r w:rsidR="00F37579" w:rsidRPr="001D280E">
        <w:rPr>
          <w:rFonts w:cstheme="minorHAnsi"/>
          <w:sz w:val="24"/>
          <w:szCs w:val="24"/>
        </w:rPr>
        <w:t xml:space="preserve"> which in their </w:t>
      </w:r>
      <w:proofErr w:type="gramStart"/>
      <w:r w:rsidR="0000092B" w:rsidRPr="001D280E">
        <w:rPr>
          <w:rFonts w:cstheme="minorHAnsi"/>
          <w:sz w:val="24"/>
          <w:szCs w:val="24"/>
        </w:rPr>
        <w:t>turn,</w:t>
      </w:r>
      <w:proofErr w:type="gramEnd"/>
      <w:r w:rsidR="0000092B" w:rsidRPr="001D280E">
        <w:rPr>
          <w:rFonts w:cstheme="minorHAnsi"/>
          <w:sz w:val="24"/>
          <w:szCs w:val="24"/>
        </w:rPr>
        <w:t xml:space="preserve"> result in the reduction of the numbers of capital punishment. Of them is proportionality between the epistemic value of the evidence and the content it is supposed to prove. The necessity of observing humane considerations in the performance of death penalty, in a few cases in which it is permitted, is also briefly discussed. In other words, performance of death penalty should be with the lowest level of pain when it is permitted.</w:t>
      </w:r>
    </w:p>
    <w:p w:rsidR="0000092B" w:rsidRDefault="0000092B" w:rsidP="00B1047E">
      <w:pPr>
        <w:pStyle w:val="ListParagraph"/>
        <w:bidi w:val="0"/>
        <w:spacing w:after="0" w:line="276" w:lineRule="auto"/>
        <w:ind w:firstLine="26"/>
        <w:jc w:val="both"/>
        <w:rPr>
          <w:rFonts w:cstheme="minorHAnsi"/>
          <w:sz w:val="24"/>
          <w:szCs w:val="24"/>
        </w:rPr>
      </w:pPr>
      <w:r w:rsidRPr="00E07A48">
        <w:rPr>
          <w:rFonts w:cstheme="minorHAnsi"/>
          <w:b/>
          <w:bCs/>
          <w:sz w:val="24"/>
          <w:szCs w:val="24"/>
        </w:rPr>
        <w:t>Keywords:</w:t>
      </w:r>
      <w:r w:rsidRPr="001D280E">
        <w:rPr>
          <w:rFonts w:cstheme="minorHAnsi"/>
          <w:sz w:val="24"/>
          <w:szCs w:val="24"/>
        </w:rPr>
        <w:t xml:space="preserve"> Right to life, Islamic criminal law, death penalty, ultima ratio principle, Precaution principle</w:t>
      </w:r>
      <w:r w:rsidRPr="001D280E">
        <w:rPr>
          <w:rFonts w:cstheme="minorHAnsi"/>
          <w:sz w:val="24"/>
          <w:szCs w:val="24"/>
          <w:rtl/>
        </w:rPr>
        <w:t>.</w:t>
      </w:r>
    </w:p>
    <w:p w:rsidR="00B1047E" w:rsidRDefault="00B1047E" w:rsidP="00B1047E">
      <w:pPr>
        <w:pStyle w:val="ListParagraph"/>
        <w:bidi w:val="0"/>
        <w:spacing w:after="0" w:line="276" w:lineRule="auto"/>
        <w:ind w:firstLine="26"/>
        <w:jc w:val="both"/>
        <w:rPr>
          <w:rFonts w:cstheme="minorHAnsi"/>
          <w:sz w:val="24"/>
          <w:szCs w:val="24"/>
        </w:rPr>
      </w:pPr>
    </w:p>
    <w:p w:rsidR="00B1047E" w:rsidRDefault="00B1047E" w:rsidP="002E02CF">
      <w:pPr>
        <w:pStyle w:val="ListParagraph"/>
        <w:bidi w:val="0"/>
        <w:spacing w:after="0" w:line="276" w:lineRule="auto"/>
        <w:ind w:firstLine="26"/>
        <w:jc w:val="both"/>
        <w:rPr>
          <w:rFonts w:cstheme="minorHAnsi"/>
          <w:sz w:val="24"/>
          <w:szCs w:val="24"/>
        </w:rPr>
      </w:pPr>
      <w:r>
        <w:rPr>
          <w:rFonts w:cstheme="minorHAnsi"/>
          <w:sz w:val="24"/>
          <w:szCs w:val="24"/>
        </w:rPr>
        <w:t xml:space="preserve">A Persian version of this article is published in: </w:t>
      </w:r>
      <w:proofErr w:type="spellStart"/>
      <w:r w:rsidR="00302E96" w:rsidRPr="00302E96">
        <w:rPr>
          <w:rFonts w:cstheme="minorHAnsi"/>
          <w:i/>
          <w:iCs/>
          <w:sz w:val="24"/>
          <w:szCs w:val="24"/>
        </w:rPr>
        <w:t>M</w:t>
      </w:r>
      <w:r w:rsidR="002E02CF">
        <w:rPr>
          <w:rFonts w:cstheme="minorHAnsi"/>
          <w:i/>
          <w:iCs/>
          <w:sz w:val="24"/>
          <w:szCs w:val="24"/>
        </w:rPr>
        <w:t>odar</w:t>
      </w:r>
      <w:r w:rsidR="00302E96" w:rsidRPr="00302E96">
        <w:rPr>
          <w:rFonts w:cstheme="minorHAnsi"/>
          <w:i/>
          <w:iCs/>
          <w:sz w:val="24"/>
          <w:szCs w:val="24"/>
        </w:rPr>
        <w:t>s</w:t>
      </w:r>
      <w:bookmarkStart w:id="0" w:name="_GoBack"/>
      <w:bookmarkEnd w:id="0"/>
      <w:proofErr w:type="spellEnd"/>
      <w:r w:rsidR="00302E96">
        <w:rPr>
          <w:rFonts w:cstheme="minorHAnsi"/>
          <w:sz w:val="24"/>
          <w:szCs w:val="24"/>
        </w:rPr>
        <w:t xml:space="preserve"> of Criminal Law and Criminology, </w:t>
      </w:r>
      <w:proofErr w:type="spellStart"/>
      <w:r w:rsidR="00302E96">
        <w:rPr>
          <w:rFonts w:cstheme="minorHAnsi"/>
          <w:sz w:val="24"/>
          <w:szCs w:val="24"/>
        </w:rPr>
        <w:t>Tarbiat</w:t>
      </w:r>
      <w:proofErr w:type="spellEnd"/>
      <w:r w:rsidR="00302E96">
        <w:rPr>
          <w:rFonts w:cstheme="minorHAnsi"/>
          <w:sz w:val="24"/>
          <w:szCs w:val="24"/>
        </w:rPr>
        <w:t xml:space="preserve"> </w:t>
      </w:r>
      <w:proofErr w:type="spellStart"/>
      <w:r w:rsidR="00302E96">
        <w:rPr>
          <w:rFonts w:cstheme="minorHAnsi"/>
          <w:sz w:val="24"/>
          <w:szCs w:val="24"/>
        </w:rPr>
        <w:t>Modare</w:t>
      </w:r>
      <w:r w:rsidR="002E02CF">
        <w:rPr>
          <w:rFonts w:cstheme="minorHAnsi"/>
          <w:sz w:val="24"/>
          <w:szCs w:val="24"/>
        </w:rPr>
        <w:t>s</w:t>
      </w:r>
      <w:proofErr w:type="spellEnd"/>
      <w:r w:rsidR="00302E96">
        <w:rPr>
          <w:rFonts w:cstheme="minorHAnsi"/>
          <w:sz w:val="24"/>
          <w:szCs w:val="24"/>
        </w:rPr>
        <w:t xml:space="preserve"> University, Vol. 1, No. 1, May 2020, available at:</w:t>
      </w:r>
    </w:p>
    <w:p w:rsidR="00302E96" w:rsidRDefault="00302E96" w:rsidP="00302E96">
      <w:pPr>
        <w:pStyle w:val="ListParagraph"/>
        <w:bidi w:val="0"/>
        <w:spacing w:after="0" w:line="276" w:lineRule="auto"/>
        <w:ind w:firstLine="26"/>
        <w:jc w:val="both"/>
        <w:rPr>
          <w:rFonts w:cstheme="minorHAnsi"/>
          <w:sz w:val="24"/>
          <w:szCs w:val="24"/>
        </w:rPr>
      </w:pPr>
    </w:p>
    <w:p w:rsidR="00057A22" w:rsidRPr="001D280E" w:rsidRDefault="00B1047E" w:rsidP="00302E96">
      <w:pPr>
        <w:pStyle w:val="ListParagraph"/>
        <w:bidi w:val="0"/>
        <w:spacing w:after="0" w:line="276" w:lineRule="auto"/>
        <w:ind w:firstLine="26"/>
        <w:jc w:val="center"/>
      </w:pPr>
      <w:r w:rsidRPr="00B1047E">
        <w:rPr>
          <w:rFonts w:cstheme="minorHAnsi"/>
          <w:sz w:val="24"/>
          <w:szCs w:val="24"/>
        </w:rPr>
        <w:t>https://clcm.modares.ac.ir/article-44-48920-fa.html</w:t>
      </w:r>
    </w:p>
    <w:sectPr w:rsidR="00057A22" w:rsidRPr="001D280E" w:rsidSect="00FA356B">
      <w:footerReference w:type="default" r:id="rId8"/>
      <w:footnotePr>
        <w:numFmt w:val="chicago"/>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E98" w:rsidRDefault="005B5E98">
      <w:pPr>
        <w:spacing w:after="0" w:line="240" w:lineRule="auto"/>
      </w:pPr>
      <w:r>
        <w:separator/>
      </w:r>
    </w:p>
  </w:endnote>
  <w:endnote w:type="continuationSeparator" w:id="0">
    <w:p w:rsidR="005B5E98" w:rsidRDefault="005B5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16343717"/>
      <w:docPartObj>
        <w:docPartGallery w:val="Page Numbers (Bottom of Page)"/>
        <w:docPartUnique/>
      </w:docPartObj>
    </w:sdtPr>
    <w:sdtEndPr>
      <w:rPr>
        <w:noProof/>
      </w:rPr>
    </w:sdtEndPr>
    <w:sdtContent>
      <w:p w:rsidR="002B7C6B" w:rsidRDefault="00E1077D">
        <w:pPr>
          <w:pStyle w:val="Footer"/>
          <w:jc w:val="center"/>
        </w:pPr>
        <w:r>
          <w:fldChar w:fldCharType="begin"/>
        </w:r>
        <w:r>
          <w:instrText xml:space="preserve"> PAGE   \* MERGEFORMAT </w:instrText>
        </w:r>
        <w:r>
          <w:fldChar w:fldCharType="separate"/>
        </w:r>
        <w:r w:rsidR="002E02CF">
          <w:rPr>
            <w:noProof/>
            <w:rtl/>
          </w:rPr>
          <w:t>1</w:t>
        </w:r>
        <w:r>
          <w:rPr>
            <w:noProof/>
          </w:rPr>
          <w:fldChar w:fldCharType="end"/>
        </w:r>
      </w:p>
    </w:sdtContent>
  </w:sdt>
  <w:p w:rsidR="002B7C6B" w:rsidRDefault="005B5E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E98" w:rsidRDefault="005B5E98">
      <w:pPr>
        <w:spacing w:after="0" w:line="240" w:lineRule="auto"/>
      </w:pPr>
      <w:r>
        <w:separator/>
      </w:r>
    </w:p>
  </w:footnote>
  <w:footnote w:type="continuationSeparator" w:id="0">
    <w:p w:rsidR="005B5E98" w:rsidRDefault="005B5E98">
      <w:pPr>
        <w:spacing w:after="0" w:line="240" w:lineRule="auto"/>
      </w:pPr>
      <w:r>
        <w:continuationSeparator/>
      </w:r>
    </w:p>
  </w:footnote>
  <w:footnote w:id="1">
    <w:p w:rsidR="00E07A48" w:rsidRDefault="00E07A48" w:rsidP="00E07A48">
      <w:pPr>
        <w:pStyle w:val="FootnoteText"/>
        <w:bidi w:val="0"/>
      </w:pPr>
      <w:r>
        <w:rPr>
          <w:rStyle w:val="FootnoteReference"/>
        </w:rPr>
        <w:footnoteRef/>
      </w:r>
      <w:r>
        <w:t xml:space="preserve"> Corresponding Author, Email: r-nobahar@sbu.ac.ir</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92B"/>
    <w:rsid w:val="0000092B"/>
    <w:rsid w:val="00057A22"/>
    <w:rsid w:val="001D280E"/>
    <w:rsid w:val="002E02CF"/>
    <w:rsid w:val="00302E96"/>
    <w:rsid w:val="003E791C"/>
    <w:rsid w:val="005B5E98"/>
    <w:rsid w:val="00965269"/>
    <w:rsid w:val="00A54B72"/>
    <w:rsid w:val="00B1047E"/>
    <w:rsid w:val="00BE4B09"/>
    <w:rsid w:val="00C7433E"/>
    <w:rsid w:val="00E07A48"/>
    <w:rsid w:val="00E1077D"/>
    <w:rsid w:val="00F330B4"/>
    <w:rsid w:val="00F375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92B"/>
    <w:pPr>
      <w:bidi/>
      <w:spacing w:after="160" w:line="259"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92B"/>
    <w:pPr>
      <w:ind w:left="720"/>
      <w:contextualSpacing/>
    </w:pPr>
  </w:style>
  <w:style w:type="paragraph" w:styleId="Footer">
    <w:name w:val="footer"/>
    <w:basedOn w:val="Normal"/>
    <w:link w:val="FooterChar"/>
    <w:uiPriority w:val="99"/>
    <w:unhideWhenUsed/>
    <w:rsid w:val="00000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92B"/>
    <w:rPr>
      <w:lang w:bidi="fa-IR"/>
    </w:rPr>
  </w:style>
  <w:style w:type="paragraph" w:styleId="FootnoteText">
    <w:name w:val="footnote text"/>
    <w:basedOn w:val="Normal"/>
    <w:link w:val="FootnoteTextChar"/>
    <w:uiPriority w:val="99"/>
    <w:semiHidden/>
    <w:unhideWhenUsed/>
    <w:rsid w:val="00057A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7A22"/>
    <w:rPr>
      <w:sz w:val="20"/>
      <w:szCs w:val="20"/>
      <w:lang w:bidi="fa-IR"/>
    </w:rPr>
  </w:style>
  <w:style w:type="character" w:styleId="FootnoteReference">
    <w:name w:val="footnote reference"/>
    <w:basedOn w:val="DefaultParagraphFont"/>
    <w:uiPriority w:val="99"/>
    <w:semiHidden/>
    <w:unhideWhenUsed/>
    <w:rsid w:val="00057A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92B"/>
    <w:pPr>
      <w:bidi/>
      <w:spacing w:after="160" w:line="259"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92B"/>
    <w:pPr>
      <w:ind w:left="720"/>
      <w:contextualSpacing/>
    </w:pPr>
  </w:style>
  <w:style w:type="paragraph" w:styleId="Footer">
    <w:name w:val="footer"/>
    <w:basedOn w:val="Normal"/>
    <w:link w:val="FooterChar"/>
    <w:uiPriority w:val="99"/>
    <w:unhideWhenUsed/>
    <w:rsid w:val="00000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92B"/>
    <w:rPr>
      <w:lang w:bidi="fa-IR"/>
    </w:rPr>
  </w:style>
  <w:style w:type="paragraph" w:styleId="FootnoteText">
    <w:name w:val="footnote text"/>
    <w:basedOn w:val="Normal"/>
    <w:link w:val="FootnoteTextChar"/>
    <w:uiPriority w:val="99"/>
    <w:semiHidden/>
    <w:unhideWhenUsed/>
    <w:rsid w:val="00057A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7A22"/>
    <w:rPr>
      <w:sz w:val="20"/>
      <w:szCs w:val="20"/>
      <w:lang w:bidi="fa-IR"/>
    </w:rPr>
  </w:style>
  <w:style w:type="character" w:styleId="FootnoteReference">
    <w:name w:val="footnote reference"/>
    <w:basedOn w:val="DefaultParagraphFont"/>
    <w:uiPriority w:val="99"/>
    <w:semiHidden/>
    <w:unhideWhenUsed/>
    <w:rsid w:val="00057A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69603-AC7C-4CCA-963B-BD47EB6EC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dc:creator>
  <cp:lastModifiedBy>NR</cp:lastModifiedBy>
  <cp:revision>8</cp:revision>
  <dcterms:created xsi:type="dcterms:W3CDTF">2021-03-16T19:23:00Z</dcterms:created>
  <dcterms:modified xsi:type="dcterms:W3CDTF">2021-04-06T20:16:00Z</dcterms:modified>
</cp:coreProperties>
</file>