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F5" w:rsidRPr="008D1EEE" w:rsidRDefault="00F93FA3" w:rsidP="00F93FA3">
      <w:pPr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ر</w:t>
      </w:r>
      <w:bookmarkStart w:id="0" w:name="_GoBack"/>
      <w:bookmarkEnd w:id="0"/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ؤیة نقدیة إلی حکم ضمان العاقلة فی مثل أعصارنا</w:t>
      </w:r>
    </w:p>
    <w:p w:rsidR="00F93FA3" w:rsidRPr="008D1EEE" w:rsidRDefault="00F93FA3" w:rsidP="006E082F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رحیم نوبهار</w:t>
      </w:r>
    </w:p>
    <w:p w:rsidR="00F93FA3" w:rsidRPr="008D1EEE" w:rsidRDefault="00F93FA3" w:rsidP="00D36258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ال</w:t>
      </w:r>
      <w:r w:rsidR="00D36258"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باحث </w:t>
      </w: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الحوزو</w:t>
      </w:r>
      <w:r w:rsidR="00D36258" w:rsidRPr="008D1EEE">
        <w:rPr>
          <w:rFonts w:asciiTheme="majorBidi" w:hAnsiTheme="majorBidi" w:cstheme="majorBidi"/>
          <w:sz w:val="28"/>
          <w:szCs w:val="28"/>
          <w:rtl/>
          <w:lang w:bidi="fa-IR"/>
        </w:rPr>
        <w:t>ي</w:t>
      </w: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 </w:t>
      </w:r>
      <w:r w:rsidR="00A90A42"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عضو اللجنة العلمیة </w:t>
      </w: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بکلیة القانون بجامعة شهید بهشتی</w:t>
      </w:r>
    </w:p>
    <w:p w:rsidR="00F93FA3" w:rsidRPr="008D1EEE" w:rsidRDefault="00F93FA3" w:rsidP="00A54F90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یری جمهور الفقهاء من مختلف المذاهب الاسلامیة أن عاقلة الجاني ضامن للجنایات الخطائیة. فإنهم و إن اختلفوا في </w:t>
      </w:r>
      <w:r w:rsidR="006E082F" w:rsidRPr="008D1EEE">
        <w:rPr>
          <w:rFonts w:asciiTheme="majorBidi" w:hAnsiTheme="majorBidi" w:cstheme="majorBidi"/>
          <w:sz w:val="28"/>
          <w:szCs w:val="28"/>
          <w:rtl/>
          <w:lang w:bidi="fa-IR"/>
        </w:rPr>
        <w:t>بعض فروع المسألة ک</w:t>
      </w: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>مهیة هذا</w:t>
      </w:r>
      <w:r w:rsidR="000173F4"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الضمان و تعیین العاقلة </w:t>
      </w:r>
      <w:r w:rsidR="00D36258" w:rsidRPr="008D1EEE">
        <w:rPr>
          <w:rFonts w:asciiTheme="majorBidi" w:hAnsiTheme="majorBidi" w:cstheme="majorBidi"/>
          <w:sz w:val="28"/>
          <w:szCs w:val="28"/>
          <w:rtl/>
          <w:lang w:bidi="fa-IR"/>
        </w:rPr>
        <w:t>بالضبط و مدی مسئولیة کل فرد من أفراد العاقلة</w:t>
      </w:r>
      <w:r w:rsidR="006807E8" w:rsidRPr="008D1EEE">
        <w:rPr>
          <w:rFonts w:asciiTheme="majorBidi" w:hAnsiTheme="majorBidi" w:cstheme="majorBidi"/>
          <w:sz w:val="28"/>
          <w:szCs w:val="28"/>
          <w:rtl/>
          <w:lang w:bidi="fa-IR"/>
        </w:rPr>
        <w:t>؛ إلا أن أصل الضمان مما تسالموا علیه</w:t>
      </w:r>
      <w:r w:rsidR="00D36258"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إذا أغمضنا عن مخالفة مثل الخوارج و الاصم</w:t>
      </w:r>
      <w:r w:rsidR="006807E8" w:rsidRPr="008D1EEE">
        <w:rPr>
          <w:rFonts w:asciiTheme="majorBidi" w:hAnsiTheme="majorBidi" w:cstheme="majorBidi"/>
          <w:sz w:val="28"/>
          <w:szCs w:val="28"/>
          <w:rtl/>
          <w:lang w:bidi="fa-IR"/>
        </w:rPr>
        <w:t>. والفقهاء الامامیة یذهبون إلی ما علیه الجمهور. فإنی ما رأیت –فیما بحثت – أحدا یخالف هذ</w:t>
      </w:r>
      <w:r w:rsidR="006E082F" w:rsidRPr="008D1EEE">
        <w:rPr>
          <w:rFonts w:asciiTheme="majorBidi" w:hAnsiTheme="majorBidi" w:cstheme="majorBidi"/>
          <w:sz w:val="28"/>
          <w:szCs w:val="28"/>
          <w:rtl/>
          <w:lang w:bidi="fa-IR"/>
        </w:rPr>
        <w:t>ا</w:t>
      </w:r>
      <w:r w:rsidR="006807E8" w:rsidRPr="008D1EEE">
        <w:rPr>
          <w:rFonts w:asciiTheme="majorBidi" w:hAnsiTheme="majorBidi" w:cstheme="majorBidi"/>
          <w:sz w:val="28"/>
          <w:szCs w:val="28"/>
          <w:rtl/>
          <w:lang w:bidi="fa-IR"/>
        </w:rPr>
        <w:t>الحکم  إلا بعض الفقهاء المعاصرین- دام مجده</w:t>
      </w:r>
      <w:r w:rsidR="000173F4" w:rsidRPr="008D1EE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="006807E8" w:rsidRPr="008D1EEE">
        <w:rPr>
          <w:rFonts w:asciiTheme="majorBidi" w:hAnsiTheme="majorBidi" w:cstheme="majorBidi"/>
          <w:sz w:val="28"/>
          <w:szCs w:val="28"/>
          <w:rtl/>
          <w:lang w:bidi="fa-IR"/>
        </w:rPr>
        <w:t xml:space="preserve">. والمسألة بالرغم مما علیه من التسالم لایزال موقع إجتهاد و </w:t>
      </w:r>
      <w:r w:rsidR="00D36258" w:rsidRPr="008D1EEE">
        <w:rPr>
          <w:rFonts w:asciiTheme="majorBidi" w:hAnsiTheme="majorBidi" w:cstheme="majorBidi"/>
          <w:sz w:val="28"/>
          <w:szCs w:val="28"/>
          <w:rtl/>
          <w:lang w:bidi="fa-IR"/>
        </w:rPr>
        <w:t>نظر</w:t>
      </w:r>
      <w:r w:rsidR="006807E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؛ و ذل</w:t>
      </w:r>
      <w:r w:rsid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ك</w:t>
      </w:r>
      <w:r w:rsidR="008D1EEE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 xml:space="preserve"> </w:t>
      </w:r>
      <w:r w:rsidR="006807E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لأن الاجماع في المسألة مستند في نهایة</w:t>
      </w:r>
      <w:r w:rsidR="006E082F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</w:t>
      </w:r>
      <w:r w:rsidR="006807E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المطاف إلی النصوص</w:t>
      </w:r>
      <w:r w:rsidR="00A54F90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>؛</w:t>
      </w:r>
      <w:r w:rsidR="006807E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و إغلاق باب الاجتهاد فی مثلها مما </w:t>
      </w:r>
      <w:r w:rsidR="000173F4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یستند المجمعون إلی النص </w:t>
      </w:r>
      <w:r w:rsidR="006807E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یؤدي إلی سد باب الاجتهاد.</w:t>
      </w:r>
    </w:p>
    <w:p w:rsidR="00A54F90" w:rsidRDefault="006E082F" w:rsidP="00A54F90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هذا المقال یناقش الحکم المشهور وینقدها من 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ثلاث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جهات: </w:t>
      </w:r>
    </w:p>
    <w:p w:rsidR="00A54F90" w:rsidRDefault="006E082F" w:rsidP="00A54F90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الاولی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: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من ناحیة مبدأ أن العقوبة شخصیة و 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أن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لا تزر وازرة وزر أخری. والقاعدة هذه مما تؤکدها العقل و 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العدید من ال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آ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یات القر</w:t>
      </w:r>
      <w:r w:rsidR="00A54F90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>آ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نیة.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و</w:t>
      </w:r>
      <w:r w:rsidR="00D3625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هي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مما لا تقب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ل الاستثناء کما هو قضیة کل حکم عقلي.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فتسلیم القاعدة ثم القول بت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خ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صیصها بأدلة ضمان العاقلة لیس سهلا کما 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یزعمه 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لمشهور.</w:t>
      </w:r>
    </w:p>
    <w:p w:rsidR="00A54F90" w:rsidRDefault="006E082F" w:rsidP="00A54F90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</w:t>
      </w:r>
      <w:r w:rsidR="000173F4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الثانیة</w:t>
      </w:r>
      <w:r w:rsidR="00A90A42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:</w:t>
      </w:r>
      <w:r w:rsidR="000173F4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من </w:t>
      </w:r>
      <w:r w:rsidR="000173F4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ناحیة أن هنا</w:t>
      </w:r>
      <w:r w:rsid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ك</w:t>
      </w:r>
      <w:r w:rsidR="008D1EEE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 xml:space="preserve"> </w:t>
      </w:r>
      <w:r w:rsidR="000173F4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شواهد تدل علی أن ضمان العاقلة کان معاقلة 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و معاقدة إ</w:t>
      </w:r>
      <w:r w:rsidR="000173F4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ختیاریة في النظام القبلي و من الطبیعی أن الاسلام 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الذي یؤکد دائما روح التعاون و التناصر في المجتمع لا یرفض مثل هذا التعاون بل یحرض الناس علی الالتزام به؛ لکن هذا لا یعن</w:t>
      </w:r>
      <w:r w:rsidR="00D3625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ي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في حد ذاته أن ضمان العاقلة من أحکام الشرع. فإن حکم الشارع بالنسبة إلی کل عقد </w:t>
      </w:r>
      <w:r w:rsidR="008D1EEE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>جامع لل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شرائط هو وجوب الوفاء کما هو مقتضی </w:t>
      </w:r>
      <w:r w:rsidR="00D3625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مثل </w:t>
      </w:r>
      <w:r w:rsidR="009E6EA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قوله عز اسمه: یا أیها الذین آمنوا أوفوا بالعقود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. لکن هذا لا یعن</w:t>
      </w:r>
      <w:r w:rsidR="00D3625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ي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أن 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الاقدام علی 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العقد 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والتعاهد 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بنفسه واجب. فالعاقلة ضامن قضاء لما عا</w:t>
      </w:r>
      <w:r w:rsidR="00A54F90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 xml:space="preserve">هدوا 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علیه </w:t>
      </w:r>
      <w:r w:rsidR="00D36258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إ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ختیارا ضمن عقد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المعاقلة</w:t>
      </w:r>
      <w:r w:rsidR="000B153D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. </w:t>
      </w:r>
      <w:r w:rsidR="006F6EBA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والظاهر أن جعل الضمان علی أهل الدیوان بدلا عن العاقلة کما شاع في العصور المتأخرة </w:t>
      </w:r>
      <w:r w:rsidR="008D1EEE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 xml:space="preserve">عن التشریع النبوي </w:t>
      </w:r>
      <w:r w:rsidR="006F6EBA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کان لنفس الدلیل و أن الناس انفسهم تراضوا علی هذا التضامن و التعاهد. </w:t>
      </w:r>
    </w:p>
    <w:p w:rsidR="006E082F" w:rsidRPr="008D1EEE" w:rsidRDefault="000B153D" w:rsidP="00A54F90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الثالثة: لو تنزلنا عن کون ضمان العاقلة معاقلة اختیاریة فلا أقل من کونه مما لم یؤسسه الشارع الاقدس و إنما أمضاه بما کان دارجا مقبولا لدی الناس فی عهد التشریع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الاسلامي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. فالشارع أمضاه بقید أنه کان مقبولا دارجا. فالرواج و القبول العقلائي 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کجزء الموضوع للحکم الشرعي؛ فإذا زال القید زال جزء موضوع الحکم و معه لا مجال 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عقلا 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لبقاء الحکم</w:t>
      </w:r>
      <w:r w:rsidR="006F6EBA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،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کما هو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قضیة کل حکم 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ز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ال موضوع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>ه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کلیا أو جزئیا؛ فإن المرکب کما یتنفی بانتفاء جمیع أجزائه یتنف</w:t>
      </w:r>
      <w:r w:rsidR="00993E41" w:rsidRPr="008D1EEE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>ي</w:t>
      </w:r>
      <w:r w:rsidR="00C94FC5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أیضا بانتفاء بعض أجزائه.</w:t>
      </w:r>
      <w:r w:rsidR="006F6EBA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 فالقول بعدم ضمان العاقلة في مثل زماننا قوي</w:t>
      </w:r>
      <w:r w:rsidR="008D1EEE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 xml:space="preserve"> له مبانیه و أدلته الخاصة</w:t>
      </w:r>
      <w:r w:rsidR="006F6EBA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. </w:t>
      </w:r>
      <w:r w:rsidR="00A54F90">
        <w:rPr>
          <w:rFonts w:asciiTheme="majorBidi" w:hAnsiTheme="majorBidi" w:cstheme="majorBidi" w:hint="cs"/>
          <w:b/>
          <w:sz w:val="28"/>
          <w:szCs w:val="28"/>
          <w:rtl/>
          <w:lang w:bidi="fa-IR"/>
        </w:rPr>
        <w:t>والله تعالی هوالعالم.</w:t>
      </w:r>
    </w:p>
    <w:p w:rsidR="00C94FC5" w:rsidRPr="008D1EEE" w:rsidRDefault="00C94FC5" w:rsidP="00BF6F5B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الکلمات المفتاحیة: </w:t>
      </w:r>
      <w:r w:rsidR="00BF6F5B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الفقه الاسلامي،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العاقلة، </w:t>
      </w:r>
      <w:r w:rsidR="006F6EBA"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أهل الدیوان، </w:t>
      </w:r>
      <w:r w:rsidRPr="008D1EEE">
        <w:rPr>
          <w:rFonts w:asciiTheme="majorBidi" w:hAnsiTheme="majorBidi" w:cstheme="majorBidi"/>
          <w:b/>
          <w:sz w:val="28"/>
          <w:szCs w:val="28"/>
          <w:rtl/>
          <w:lang w:bidi="fa-IR"/>
        </w:rPr>
        <w:t xml:space="preserve">الدیة، مبدء شخصیة العقوبات. </w:t>
      </w:r>
    </w:p>
    <w:p w:rsidR="00993E41" w:rsidRPr="008D1EEE" w:rsidRDefault="00993E41" w:rsidP="00993E41">
      <w:pPr>
        <w:bidi/>
        <w:jc w:val="both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</w:p>
    <w:p w:rsidR="006807E8" w:rsidRPr="008D1EEE" w:rsidRDefault="006807E8" w:rsidP="00F93FA3">
      <w:pPr>
        <w:jc w:val="right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</w:p>
    <w:sectPr w:rsidR="006807E8" w:rsidRPr="008D1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A3"/>
    <w:rsid w:val="000173F4"/>
    <w:rsid w:val="000B153D"/>
    <w:rsid w:val="001F0DF5"/>
    <w:rsid w:val="005E31AB"/>
    <w:rsid w:val="006807E8"/>
    <w:rsid w:val="006E082F"/>
    <w:rsid w:val="006F6EBA"/>
    <w:rsid w:val="008D1EEE"/>
    <w:rsid w:val="00993E41"/>
    <w:rsid w:val="009E6EAB"/>
    <w:rsid w:val="00A54F90"/>
    <w:rsid w:val="00A90A42"/>
    <w:rsid w:val="00BF6F5B"/>
    <w:rsid w:val="00C94FC5"/>
    <w:rsid w:val="00D36258"/>
    <w:rsid w:val="00D56DDE"/>
    <w:rsid w:val="00F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15DFE-8CFE-42A3-A57D-B5FB1242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3</cp:revision>
  <dcterms:created xsi:type="dcterms:W3CDTF">2017-11-20T18:32:00Z</dcterms:created>
  <dcterms:modified xsi:type="dcterms:W3CDTF">2017-12-13T15:23:00Z</dcterms:modified>
</cp:coreProperties>
</file>