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D1" w:rsidRDefault="007048D1" w:rsidP="007048D1">
      <w:pPr>
        <w:tabs>
          <w:tab w:val="right" w:pos="1710"/>
        </w:tabs>
        <w:bidi/>
        <w:spacing w:line="240" w:lineRule="auto"/>
        <w:jc w:val="center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مکان‌يابي مقررات کيفري در فقه و پيامدهاي روش‌شناختي آن</w:t>
      </w:r>
    </w:p>
    <w:p w:rsidR="007048D1" w:rsidRDefault="007048D1" w:rsidP="007048D1">
      <w:pPr>
        <w:tabs>
          <w:tab w:val="right" w:pos="1710"/>
        </w:tabs>
        <w:bidi/>
        <w:spacing w:line="240" w:lineRule="auto"/>
        <w:jc w:val="both"/>
        <w:rPr>
          <w:rFonts w:cs="B Mitra"/>
          <w:i/>
          <w:iCs/>
          <w:sz w:val="24"/>
          <w:szCs w:val="24"/>
          <w:rtl/>
          <w:lang w:bidi="fa-IR"/>
        </w:rPr>
      </w:pPr>
    </w:p>
    <w:p w:rsidR="007048D1" w:rsidRDefault="007048D1" w:rsidP="007048D1">
      <w:pPr>
        <w:tabs>
          <w:tab w:val="right" w:pos="1710"/>
        </w:tabs>
        <w:bidi/>
        <w:spacing w:line="240" w:lineRule="auto"/>
        <w:jc w:val="both"/>
        <w:rPr>
          <w:rFonts w:cs="B Mitra"/>
          <w:i/>
          <w:iCs/>
          <w:sz w:val="24"/>
          <w:szCs w:val="24"/>
          <w:lang w:bidi="fa-IR"/>
        </w:rPr>
      </w:pPr>
      <w:r>
        <w:rPr>
          <w:rFonts w:cs="B Mitra" w:hint="cs"/>
          <w:i/>
          <w:iCs/>
          <w:sz w:val="24"/>
          <w:szCs w:val="24"/>
          <w:rtl/>
          <w:lang w:bidi="fa-IR"/>
        </w:rPr>
        <w:t>مباحث فقه اغلب در چهار گروه «عبادات»، «معاملات»، «ايقاعات» و «احکام و سياسات»</w:t>
      </w:r>
      <w:bookmarkStart w:id="0" w:name="_GoBack"/>
      <w:bookmarkEnd w:id="0"/>
      <w:r>
        <w:rPr>
          <w:rFonts w:cs="B Mitra" w:hint="cs"/>
          <w:i/>
          <w:iCs/>
          <w:sz w:val="24"/>
          <w:szCs w:val="24"/>
          <w:rtl/>
          <w:lang w:bidi="fa-IR"/>
        </w:rPr>
        <w:t xml:space="preserve"> دسته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بندی شده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اند. مقررات جزایي در</w:t>
      </w:r>
      <w:r>
        <w:rPr>
          <w:rFonts w:cs="B Mitra"/>
          <w:i/>
          <w:iCs/>
          <w:color w:val="002060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i/>
          <w:iCs/>
          <w:color w:val="00B0F0"/>
          <w:sz w:val="24"/>
          <w:szCs w:val="24"/>
          <w:rtl/>
          <w:lang w:bidi="fa-IR"/>
        </w:rPr>
        <w:t xml:space="preserve">دستۀ </w:t>
      </w:r>
      <w:r>
        <w:rPr>
          <w:rFonts w:cs="B Mitra" w:hint="cs"/>
          <w:i/>
          <w:iCs/>
          <w:sz w:val="24"/>
          <w:szCs w:val="24"/>
          <w:rtl/>
          <w:lang w:bidi="fa-IR"/>
        </w:rPr>
        <w:t>«احکام و سياسات» قرارگرفته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اند. حتي کساني که باب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هاي فقهي را به گونه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اي ديگر دسته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بندي کرد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ه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اند، مباحث جزايي را زير عنوان عبادات قرار نداده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اند. بااين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حال، در عمل، با مقررات جزايي اسلام به نوعي همچون مباحث تعبدي، توقيفي و تغييرنابردار رفتار شده است. اين مقاله با توجه به جايگاه مباحث جزايي از يک سو و تحليل طبع و ماهيت بسياري از آنها از سوي ديگر نشان مي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دهد که مباحث فقه جزايي را نمي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توان يکسره در شمار مباحث تعبدي و توقيفي قلمداد کرد. اگر احکام ناظر به بيان حرمت و جرم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انگاري برخي اعمال در شمار مسائل توقيفي باشد، مسائل مربوط به چند و چون کيفر که نوعي واکنش اجتماعي</w:t>
      </w:r>
      <w:r>
        <w:rPr>
          <w:rFonts w:cs="B Mitra" w:hint="cs"/>
          <w:i/>
          <w:i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i/>
          <w:iCs/>
          <w:sz w:val="24"/>
          <w:szCs w:val="24"/>
          <w:rtl/>
          <w:lang w:bidi="fa-IR"/>
        </w:rPr>
        <w:t>به جرم است، در شمار مسائل عبادی و رازمند نيستند. در نتیجه، آنها از تغيير و تحول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>هاي عقلايي که در شرع مقدس از آنها صريحاً يا ضمناً نهي نشده باشد، اثر مي</w:t>
      </w:r>
      <w:r>
        <w:rPr>
          <w:rFonts w:cs="B Mitra"/>
          <w:i/>
          <w:iCs/>
          <w:sz w:val="24"/>
          <w:szCs w:val="24"/>
          <w:lang w:bidi="fa-IR"/>
        </w:rPr>
        <w:t>‌</w:t>
      </w:r>
      <w:r>
        <w:rPr>
          <w:rFonts w:cs="B Mitra" w:hint="cs"/>
          <w:i/>
          <w:iCs/>
          <w:sz w:val="24"/>
          <w:szCs w:val="24"/>
          <w:rtl/>
          <w:lang w:bidi="fa-IR"/>
        </w:rPr>
        <w:t xml:space="preserve">پذيرند. </w:t>
      </w:r>
    </w:p>
    <w:p w:rsidR="007048D1" w:rsidRDefault="007048D1" w:rsidP="007048D1">
      <w:pPr>
        <w:tabs>
          <w:tab w:val="right" w:pos="1710"/>
        </w:tabs>
        <w:bidi/>
        <w:spacing w:line="240" w:lineRule="auto"/>
        <w:jc w:val="both"/>
        <w:rPr>
          <w:rFonts w:cs="B Mitra" w:hint="cs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کليدواژگان: </w:t>
      </w:r>
    </w:p>
    <w:p w:rsidR="007048D1" w:rsidRDefault="007048D1" w:rsidP="007048D1">
      <w:pPr>
        <w:tabs>
          <w:tab w:val="right" w:pos="1710"/>
        </w:tabs>
        <w:bidi/>
        <w:spacing w:line="240" w:lineRule="auto"/>
        <w:jc w:val="both"/>
        <w:rPr>
          <w:rFonts w:cs="B Mitra" w:hint="cs"/>
          <w:i/>
          <w:iCs/>
          <w:sz w:val="26"/>
          <w:szCs w:val="26"/>
          <w:rtl/>
          <w:lang w:bidi="fa-IR"/>
        </w:rPr>
      </w:pPr>
      <w:r>
        <w:rPr>
          <w:rFonts w:cs="B Mitra" w:hint="cs"/>
          <w:i/>
          <w:iCs/>
          <w:sz w:val="26"/>
          <w:szCs w:val="26"/>
          <w:rtl/>
          <w:lang w:bidi="fa-IR"/>
        </w:rPr>
        <w:t>احکام، بنای عقلا، فقه جزايي، سياسات، عبادات، معاملات.</w:t>
      </w:r>
    </w:p>
    <w:p w:rsidR="00650488" w:rsidRDefault="007048D1" w:rsidP="007048D1">
      <w:pPr>
        <w:bidi/>
      </w:pPr>
    </w:p>
    <w:sectPr w:rsidR="0065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D1"/>
    <w:rsid w:val="002416B4"/>
    <w:rsid w:val="006E4926"/>
    <w:rsid w:val="007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D75A3-B6BD-4A0B-85B3-511022D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D1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777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1</cp:revision>
  <dcterms:created xsi:type="dcterms:W3CDTF">2019-05-31T17:17:00Z</dcterms:created>
  <dcterms:modified xsi:type="dcterms:W3CDTF">2019-05-31T17:22:00Z</dcterms:modified>
</cp:coreProperties>
</file>